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019" w:rsidRPr="00525508" w:rsidRDefault="00BC7019" w:rsidP="00BC7019">
      <w:pPr>
        <w:spacing w:line="240" w:lineRule="auto"/>
        <w:rPr>
          <w:rFonts w:cs="Arial"/>
          <w:b/>
          <w:color w:val="0070C0"/>
          <w:sz w:val="40"/>
          <w:szCs w:val="28"/>
          <w:lang w:val="en-GB" w:eastAsia="en-US"/>
        </w:rPr>
      </w:pPr>
      <w:r w:rsidRPr="00525508">
        <w:rPr>
          <w:rFonts w:cs="Arial"/>
          <w:b/>
          <w:color w:val="0070C0"/>
          <w:sz w:val="40"/>
          <w:szCs w:val="28"/>
          <w:lang w:val="en-GB" w:eastAsia="en-US"/>
        </w:rPr>
        <w:t>Listening and summarising</w:t>
      </w:r>
    </w:p>
    <w:p w:rsidR="00BC7019" w:rsidRPr="00525508" w:rsidRDefault="00BC7019" w:rsidP="00BC7019">
      <w:pPr>
        <w:spacing w:line="240" w:lineRule="auto"/>
        <w:rPr>
          <w:rFonts w:cs="Arial"/>
          <w:b/>
          <w:color w:val="0070C0"/>
          <w:sz w:val="36"/>
          <w:lang w:val="en-GB" w:eastAsia="en-US"/>
        </w:rPr>
      </w:pPr>
    </w:p>
    <w:p w:rsidR="00BC7019" w:rsidRPr="00525508" w:rsidRDefault="00BC7019" w:rsidP="00BC7019">
      <w:pPr>
        <w:spacing w:line="240" w:lineRule="auto"/>
        <w:rPr>
          <w:rFonts w:cs="Arial"/>
          <w:b/>
          <w:lang w:val="en-GB" w:eastAsia="en-US"/>
        </w:rPr>
      </w:pPr>
    </w:p>
    <w:p w:rsidR="00BC7019" w:rsidRPr="00525508" w:rsidRDefault="00BC7019" w:rsidP="00BC7019">
      <w:pPr>
        <w:spacing w:line="240" w:lineRule="auto"/>
        <w:rPr>
          <w:rFonts w:cs="Arial"/>
          <w:b/>
          <w:lang w:val="en-GB" w:eastAsia="en-US"/>
        </w:rPr>
      </w:pPr>
    </w:p>
    <w:p w:rsidR="00BC7019" w:rsidRPr="00525508" w:rsidRDefault="00BC7019" w:rsidP="00BC7019">
      <w:pPr>
        <w:spacing w:line="240" w:lineRule="auto"/>
        <w:rPr>
          <w:rFonts w:cs="Arial"/>
          <w:color w:val="808080" w:themeColor="background1" w:themeShade="80"/>
          <w:sz w:val="32"/>
          <w:lang w:val="en-GB" w:eastAsia="en-US"/>
        </w:rPr>
      </w:pPr>
      <w:r w:rsidRPr="00525508">
        <w:rPr>
          <w:rFonts w:cs="Arial"/>
          <w:color w:val="808080" w:themeColor="background1" w:themeShade="80"/>
          <w:sz w:val="32"/>
          <w:lang w:val="en-GB" w:eastAsia="en-US"/>
        </w:rPr>
        <w:t>Procedure</w:t>
      </w:r>
    </w:p>
    <w:p w:rsidR="00BC7019" w:rsidRPr="00525508" w:rsidRDefault="00BC7019" w:rsidP="00BC7019">
      <w:pPr>
        <w:spacing w:line="240" w:lineRule="auto"/>
        <w:rPr>
          <w:rFonts w:cs="Arial"/>
          <w:b/>
          <w:lang w:val="en-GB" w:eastAsia="en-US"/>
        </w:rPr>
      </w:pPr>
    </w:p>
    <w:p w:rsidR="00BC7019" w:rsidRPr="00525508" w:rsidRDefault="00BC7019" w:rsidP="00525508">
      <w:pPr>
        <w:pStyle w:val="ListParagraph"/>
        <w:numPr>
          <w:ilvl w:val="0"/>
          <w:numId w:val="4"/>
        </w:numPr>
        <w:ind w:left="426"/>
        <w:contextualSpacing/>
        <w:rPr>
          <w:rFonts w:cs="Arial"/>
          <w:sz w:val="22"/>
          <w:lang w:val="en-GB" w:eastAsia="en-US"/>
        </w:rPr>
      </w:pPr>
      <w:r w:rsidRPr="00525508">
        <w:rPr>
          <w:rFonts w:cs="Arial"/>
          <w:sz w:val="22"/>
          <w:lang w:val="en-GB" w:eastAsia="en-US"/>
        </w:rPr>
        <w:t>The idea-giver (IG) notes down on a card a subject on which s/he can put forward a (fairly) strong opinion.</w:t>
      </w:r>
    </w:p>
    <w:p w:rsidR="00BC7019" w:rsidRPr="00525508" w:rsidRDefault="00BC7019" w:rsidP="00525508">
      <w:pPr>
        <w:pStyle w:val="ListParagraph"/>
        <w:numPr>
          <w:ilvl w:val="0"/>
          <w:numId w:val="4"/>
        </w:numPr>
        <w:ind w:left="426"/>
        <w:contextualSpacing/>
        <w:rPr>
          <w:rFonts w:cs="Arial"/>
          <w:sz w:val="22"/>
          <w:lang w:val="en-GB" w:eastAsia="en-US"/>
        </w:rPr>
      </w:pPr>
      <w:r w:rsidRPr="00525508">
        <w:rPr>
          <w:rFonts w:cs="Arial"/>
          <w:sz w:val="22"/>
          <w:lang w:val="en-GB" w:eastAsia="en-US"/>
        </w:rPr>
        <w:t>The IG highlights the main arguments which support the position before handing the card to a colleague / 2 colleagues.</w:t>
      </w:r>
    </w:p>
    <w:p w:rsidR="00BC7019" w:rsidRPr="00525508" w:rsidRDefault="00BC7019" w:rsidP="00525508">
      <w:pPr>
        <w:pStyle w:val="ListParagraph"/>
        <w:numPr>
          <w:ilvl w:val="0"/>
          <w:numId w:val="4"/>
        </w:numPr>
        <w:ind w:left="426"/>
        <w:contextualSpacing/>
        <w:rPr>
          <w:rFonts w:cs="Arial"/>
          <w:sz w:val="22"/>
          <w:lang w:val="en-GB" w:eastAsia="en-US"/>
        </w:rPr>
      </w:pPr>
      <w:r w:rsidRPr="00525508">
        <w:rPr>
          <w:rFonts w:cs="Arial"/>
          <w:sz w:val="22"/>
          <w:lang w:val="en-GB" w:eastAsia="en-US"/>
        </w:rPr>
        <w:t xml:space="preserve">The recipients of the card prepare the </w:t>
      </w:r>
      <w:r w:rsidRPr="00525508">
        <w:rPr>
          <w:rFonts w:cs="Arial"/>
          <w:sz w:val="22"/>
          <w:u w:val="single"/>
          <w:lang w:val="en-GB" w:eastAsia="en-US"/>
        </w:rPr>
        <w:t xml:space="preserve">counter </w:t>
      </w:r>
      <w:r w:rsidRPr="00525508">
        <w:rPr>
          <w:rFonts w:cs="Arial"/>
          <w:sz w:val="22"/>
          <w:lang w:val="en-GB" w:eastAsia="en-US"/>
        </w:rPr>
        <w:t>arguments to the stated position.</w:t>
      </w:r>
    </w:p>
    <w:p w:rsidR="00BC7019" w:rsidRPr="00525508" w:rsidRDefault="00BC7019" w:rsidP="00525508">
      <w:pPr>
        <w:pStyle w:val="ListParagraph"/>
        <w:numPr>
          <w:ilvl w:val="0"/>
          <w:numId w:val="4"/>
        </w:numPr>
        <w:ind w:left="426" w:hanging="2126"/>
        <w:contextualSpacing/>
        <w:rPr>
          <w:rFonts w:cs="Arial"/>
          <w:sz w:val="22"/>
          <w:lang w:val="en-GB" w:eastAsia="en-US"/>
        </w:rPr>
      </w:pPr>
      <w:r w:rsidRPr="00525508">
        <w:rPr>
          <w:rFonts w:cs="Arial"/>
          <w:sz w:val="22"/>
          <w:lang w:val="en-GB" w:eastAsia="en-US"/>
        </w:rPr>
        <w:t>Taking 3 – 4 minutes, the recipients argue</w:t>
      </w:r>
      <w:r w:rsidR="00A27B2A" w:rsidRPr="00525508">
        <w:rPr>
          <w:rFonts w:cs="Arial"/>
          <w:sz w:val="22"/>
          <w:lang w:val="en-GB" w:eastAsia="en-US"/>
        </w:rPr>
        <w:t xml:space="preserve"> / present</w:t>
      </w:r>
      <w:r w:rsidRPr="00525508">
        <w:rPr>
          <w:rFonts w:cs="Arial"/>
          <w:sz w:val="22"/>
          <w:lang w:val="en-GB" w:eastAsia="en-US"/>
        </w:rPr>
        <w:t xml:space="preserve"> the </w:t>
      </w:r>
      <w:r w:rsidR="00525508" w:rsidRPr="00525508">
        <w:rPr>
          <w:rFonts w:cs="Arial"/>
          <w:sz w:val="22"/>
          <w:lang w:val="en-GB" w:eastAsia="en-US"/>
        </w:rPr>
        <w:t xml:space="preserve">opposite of the stated position </w:t>
      </w:r>
      <w:r w:rsidRPr="00525508">
        <w:rPr>
          <w:rFonts w:cs="Arial"/>
          <w:sz w:val="22"/>
          <w:lang w:val="en-GB" w:eastAsia="en-US"/>
        </w:rPr>
        <w:t>while the original IG listens and, if necessary, checks understanding and makes notes.</w:t>
      </w:r>
    </w:p>
    <w:p w:rsidR="00BC7019" w:rsidRPr="00525508" w:rsidRDefault="00BC7019" w:rsidP="00525508">
      <w:pPr>
        <w:pStyle w:val="ListParagraph"/>
        <w:numPr>
          <w:ilvl w:val="0"/>
          <w:numId w:val="4"/>
        </w:numPr>
        <w:ind w:left="426"/>
        <w:contextualSpacing/>
        <w:rPr>
          <w:rFonts w:cs="Arial"/>
          <w:sz w:val="22"/>
          <w:lang w:val="en-GB" w:eastAsia="en-US"/>
        </w:rPr>
      </w:pPr>
      <w:r w:rsidRPr="00525508">
        <w:rPr>
          <w:rFonts w:cs="Arial"/>
          <w:sz w:val="22"/>
          <w:lang w:val="en-GB" w:eastAsia="en-US"/>
        </w:rPr>
        <w:t>The original IG summarises what has been</w:t>
      </w:r>
      <w:r w:rsidR="00525508" w:rsidRPr="00525508">
        <w:rPr>
          <w:rFonts w:cs="Arial"/>
          <w:sz w:val="22"/>
          <w:lang w:val="en-GB" w:eastAsia="en-US"/>
        </w:rPr>
        <w:t xml:space="preserve"> </w:t>
      </w:r>
      <w:r w:rsidRPr="00525508">
        <w:rPr>
          <w:rFonts w:cs="Arial"/>
          <w:sz w:val="22"/>
          <w:lang w:val="en-GB" w:eastAsia="en-US"/>
        </w:rPr>
        <w:t>said without entering a discussion or</w:t>
      </w:r>
      <w:r w:rsidR="00525508" w:rsidRPr="00525508">
        <w:rPr>
          <w:rFonts w:cs="Arial"/>
          <w:sz w:val="22"/>
          <w:lang w:val="en-GB" w:eastAsia="en-US"/>
        </w:rPr>
        <w:t xml:space="preserve"> </w:t>
      </w:r>
      <w:r w:rsidRPr="00525508">
        <w:rPr>
          <w:rFonts w:cs="Arial"/>
          <w:sz w:val="22"/>
          <w:lang w:val="en-GB" w:eastAsia="en-US"/>
        </w:rPr>
        <w:t>putting forward his/her own views.</w:t>
      </w:r>
    </w:p>
    <w:p w:rsidR="003B0438" w:rsidRPr="00525508" w:rsidRDefault="003B0438" w:rsidP="00525508">
      <w:pPr>
        <w:pStyle w:val="ListParagraph"/>
        <w:numPr>
          <w:ilvl w:val="0"/>
          <w:numId w:val="4"/>
        </w:numPr>
        <w:ind w:left="426"/>
        <w:contextualSpacing/>
        <w:rPr>
          <w:rFonts w:cs="Arial"/>
          <w:sz w:val="22"/>
          <w:lang w:val="en-GB" w:eastAsia="en-US"/>
        </w:rPr>
      </w:pPr>
      <w:r w:rsidRPr="00525508">
        <w:rPr>
          <w:rFonts w:cs="Arial"/>
          <w:sz w:val="22"/>
          <w:lang w:val="en-GB" w:eastAsia="en-US"/>
        </w:rPr>
        <w:t>Observers give feedback on</w:t>
      </w:r>
      <w:r w:rsidR="00525508" w:rsidRPr="00525508">
        <w:rPr>
          <w:rFonts w:cs="Arial"/>
          <w:sz w:val="22"/>
          <w:lang w:val="en-GB" w:eastAsia="en-US"/>
        </w:rPr>
        <w:t xml:space="preserve">: </w:t>
      </w:r>
    </w:p>
    <w:p w:rsidR="003B0438" w:rsidRPr="00525508" w:rsidRDefault="003B0438" w:rsidP="00525508">
      <w:pPr>
        <w:pStyle w:val="ListParagraph"/>
        <w:numPr>
          <w:ilvl w:val="0"/>
          <w:numId w:val="3"/>
        </w:numPr>
        <w:ind w:left="851" w:hanging="283"/>
        <w:contextualSpacing/>
        <w:rPr>
          <w:rFonts w:cs="Arial"/>
          <w:sz w:val="22"/>
          <w:lang w:val="en-GB" w:eastAsia="en-US"/>
        </w:rPr>
      </w:pPr>
      <w:r w:rsidRPr="00525508">
        <w:rPr>
          <w:rFonts w:cs="Arial"/>
          <w:sz w:val="22"/>
          <w:lang w:val="en-GB" w:eastAsia="en-US"/>
        </w:rPr>
        <w:t>Were any key points omitted?</w:t>
      </w:r>
    </w:p>
    <w:p w:rsidR="003B0438" w:rsidRPr="00525508" w:rsidRDefault="003B0438" w:rsidP="00525508">
      <w:pPr>
        <w:pStyle w:val="ListParagraph"/>
        <w:numPr>
          <w:ilvl w:val="0"/>
          <w:numId w:val="3"/>
        </w:numPr>
        <w:ind w:left="851" w:hanging="283"/>
        <w:contextualSpacing/>
        <w:rPr>
          <w:rFonts w:cs="Arial"/>
          <w:sz w:val="22"/>
          <w:lang w:val="en-GB" w:eastAsia="en-US"/>
        </w:rPr>
      </w:pPr>
      <w:r w:rsidRPr="00525508">
        <w:rPr>
          <w:rFonts w:cs="Arial"/>
          <w:sz w:val="22"/>
          <w:lang w:val="en-GB" w:eastAsia="en-US"/>
        </w:rPr>
        <w:t>Was the summariser’s personal opinion apparent?</w:t>
      </w:r>
    </w:p>
    <w:p w:rsidR="003B0438" w:rsidRPr="00525508" w:rsidRDefault="003B0438" w:rsidP="00525508">
      <w:pPr>
        <w:pStyle w:val="ListParagraph"/>
        <w:numPr>
          <w:ilvl w:val="0"/>
          <w:numId w:val="3"/>
        </w:numPr>
        <w:ind w:left="851" w:hanging="283"/>
        <w:contextualSpacing/>
        <w:rPr>
          <w:rFonts w:cs="Arial"/>
          <w:sz w:val="22"/>
          <w:lang w:val="en-GB" w:eastAsia="en-US"/>
        </w:rPr>
      </w:pPr>
      <w:r w:rsidRPr="00525508">
        <w:rPr>
          <w:rFonts w:cs="Arial"/>
          <w:sz w:val="22"/>
          <w:lang w:val="en-GB" w:eastAsia="en-US"/>
        </w:rPr>
        <w:t>Was the statement reported accurately and fairly</w:t>
      </w:r>
      <w:r w:rsidR="00525508" w:rsidRPr="00525508">
        <w:rPr>
          <w:rFonts w:cs="Arial"/>
          <w:sz w:val="22"/>
          <w:lang w:val="en-GB" w:eastAsia="en-US"/>
        </w:rPr>
        <w:t>?</w:t>
      </w:r>
    </w:p>
    <w:p w:rsidR="00BC7019" w:rsidRPr="00525508" w:rsidRDefault="00525508" w:rsidP="00BC7019">
      <w:pPr>
        <w:rPr>
          <w:rFonts w:cs="Arial"/>
        </w:rPr>
      </w:pPr>
      <w:r w:rsidRPr="00525508">
        <w:rPr>
          <w:rFonts w:cs="Arial"/>
          <w:noProof/>
          <w:lang w:val="en-GB" w:eastAsia="en-GB"/>
        </w:rPr>
        <w:drawing>
          <wp:anchor distT="0" distB="0" distL="114300" distR="114300" simplePos="0" relativeHeight="251705344" behindDoc="1" locked="0" layoutInCell="1" allowOverlap="1" wp14:anchorId="7A1DE747" wp14:editId="683E7525">
            <wp:simplePos x="0" y="0"/>
            <wp:positionH relativeFrom="column">
              <wp:posOffset>23124</wp:posOffset>
            </wp:positionH>
            <wp:positionV relativeFrom="paragraph">
              <wp:posOffset>614680</wp:posOffset>
            </wp:positionV>
            <wp:extent cx="2924175" cy="2016125"/>
            <wp:effectExtent l="0" t="0" r="0" b="0"/>
            <wp:wrapTight wrapText="bothSides">
              <wp:wrapPolygon edited="0">
                <wp:start x="0" y="0"/>
                <wp:lineTo x="0" y="21430"/>
                <wp:lineTo x="21530" y="21430"/>
                <wp:lineTo x="21530" y="0"/>
                <wp:lineTo x="0" y="0"/>
              </wp:wrapPolygon>
            </wp:wrapTight>
            <wp:docPr id="21" name="Grafik 20" descr="liste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en-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508">
        <w:rPr>
          <w:noProof/>
          <w:lang w:val="en-GB" w:eastAsia="en-GB"/>
        </w:rPr>
        <w:drawing>
          <wp:anchor distT="0" distB="0" distL="114300" distR="114300" simplePos="0" relativeHeight="251656192" behindDoc="1" locked="0" layoutInCell="1" allowOverlap="1" wp14:anchorId="6C5CBB88" wp14:editId="3C934DD6">
            <wp:simplePos x="0" y="0"/>
            <wp:positionH relativeFrom="column">
              <wp:posOffset>2970003</wp:posOffset>
            </wp:positionH>
            <wp:positionV relativeFrom="paragraph">
              <wp:posOffset>591185</wp:posOffset>
            </wp:positionV>
            <wp:extent cx="3001645" cy="2024380"/>
            <wp:effectExtent l="0" t="0" r="0" b="0"/>
            <wp:wrapTight wrapText="bothSides">
              <wp:wrapPolygon edited="0">
                <wp:start x="0" y="0"/>
                <wp:lineTo x="0" y="21343"/>
                <wp:lineTo x="21522" y="21343"/>
                <wp:lineTo x="21522" y="0"/>
                <wp:lineTo x="0" y="0"/>
              </wp:wrapPolygon>
            </wp:wrapTight>
            <wp:docPr id="20" name="Grafik 19" descr="liste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ening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1645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019" w:rsidRPr="00525508">
        <w:rPr>
          <w:rFonts w:cs="Arial"/>
        </w:rPr>
        <w:br w:type="page"/>
      </w:r>
    </w:p>
    <w:p w:rsidR="00BC7019" w:rsidRPr="00525508" w:rsidRDefault="00525508" w:rsidP="00525508">
      <w:pPr>
        <w:spacing w:line="240" w:lineRule="auto"/>
        <w:rPr>
          <w:rFonts w:cs="Arial"/>
          <w:color w:val="808080" w:themeColor="background1" w:themeShade="80"/>
          <w:sz w:val="32"/>
          <w:lang w:val="en-GB" w:eastAsia="en-US"/>
        </w:rPr>
      </w:pPr>
      <w:r>
        <w:rPr>
          <w:rFonts w:cs="Arial"/>
          <w:color w:val="808080" w:themeColor="background1" w:themeShade="80"/>
          <w:sz w:val="32"/>
          <w:lang w:val="en-GB" w:eastAsia="en-US"/>
        </w:rPr>
        <w:lastRenderedPageBreak/>
        <w:t>Trainer</w:t>
      </w:r>
      <w:r w:rsidR="00BC7019" w:rsidRPr="00525508">
        <w:rPr>
          <w:rFonts w:cs="Arial"/>
          <w:color w:val="808080" w:themeColor="background1" w:themeShade="80"/>
          <w:sz w:val="32"/>
          <w:lang w:val="en-GB" w:eastAsia="en-US"/>
        </w:rPr>
        <w:t xml:space="preserve"> Notes</w:t>
      </w:r>
    </w:p>
    <w:p w:rsidR="00BC7019" w:rsidRPr="00525508" w:rsidRDefault="00BC7019">
      <w:pPr>
        <w:rPr>
          <w:rFonts w:cs="Arial"/>
        </w:rPr>
      </w:pPr>
    </w:p>
    <w:p w:rsidR="003425D1" w:rsidRPr="00525508" w:rsidRDefault="00BC7019" w:rsidP="00525508">
      <w:pPr>
        <w:spacing w:before="120" w:after="120"/>
        <w:rPr>
          <w:rFonts w:cs="Arial"/>
          <w:b/>
          <w:sz w:val="22"/>
        </w:rPr>
      </w:pPr>
      <w:r w:rsidRPr="00525508">
        <w:rPr>
          <w:rFonts w:cs="Arial"/>
          <w:b/>
          <w:sz w:val="22"/>
        </w:rPr>
        <w:t>This is a great listening and summarising activity that you can comfortably use for groups at B2 level or above. (I’ve had great results with native-speakers as it is as much a communication- as a language exercise.)</w:t>
      </w:r>
      <w:r w:rsidR="00CD0EDE" w:rsidRPr="00525508">
        <w:rPr>
          <w:rFonts w:cs="Arial"/>
          <w:b/>
          <w:sz w:val="22"/>
        </w:rPr>
        <w:t xml:space="preserve"> All you need is half a dozen participants who are ready to share their thoughts. </w:t>
      </w:r>
    </w:p>
    <w:p w:rsidR="00BC7019" w:rsidRPr="00525508" w:rsidRDefault="00BC7019" w:rsidP="00525508">
      <w:pPr>
        <w:pStyle w:val="ListParagraph"/>
        <w:numPr>
          <w:ilvl w:val="0"/>
          <w:numId w:val="4"/>
        </w:numPr>
        <w:ind w:left="426"/>
        <w:contextualSpacing/>
        <w:rPr>
          <w:rFonts w:cs="Arial"/>
          <w:sz w:val="22"/>
          <w:lang w:val="en-GB" w:eastAsia="en-US"/>
        </w:rPr>
      </w:pPr>
      <w:r w:rsidRPr="00525508">
        <w:rPr>
          <w:rFonts w:cs="Arial"/>
          <w:sz w:val="22"/>
          <w:lang w:val="en-GB" w:eastAsia="en-US"/>
        </w:rPr>
        <w:t xml:space="preserve">The idea is to demonstrate how hard it is to listen and summarise when you disagree with what you are hearing. The temptation is to enter into a discussion, ignore uncomfortable arguments and/or to colour the summary with personal opinions. </w:t>
      </w:r>
    </w:p>
    <w:p w:rsidR="00A27B2A" w:rsidRPr="00525508" w:rsidRDefault="00BC7019" w:rsidP="00525508">
      <w:pPr>
        <w:pStyle w:val="ListParagraph"/>
        <w:numPr>
          <w:ilvl w:val="0"/>
          <w:numId w:val="4"/>
        </w:numPr>
        <w:ind w:left="426"/>
        <w:contextualSpacing/>
        <w:rPr>
          <w:rFonts w:cs="Arial"/>
          <w:sz w:val="22"/>
          <w:lang w:val="en-GB" w:eastAsia="en-US"/>
        </w:rPr>
      </w:pPr>
      <w:r w:rsidRPr="00525508">
        <w:rPr>
          <w:rFonts w:cs="Arial"/>
          <w:sz w:val="22"/>
          <w:lang w:val="en-GB" w:eastAsia="en-US"/>
        </w:rPr>
        <w:t>The exercise needs a set of clearly expressed, strongly held views at the beginning. If these are not forthcoming, thr</w:t>
      </w:r>
      <w:r w:rsidR="00A27B2A" w:rsidRPr="00525508">
        <w:rPr>
          <w:rFonts w:cs="Arial"/>
          <w:sz w:val="22"/>
          <w:lang w:val="en-GB" w:eastAsia="en-US"/>
        </w:rPr>
        <w:t xml:space="preserve">ow out a couple of possible themes (Expelling </w:t>
      </w:r>
      <w:r w:rsidR="003B0438" w:rsidRPr="00525508">
        <w:rPr>
          <w:rFonts w:cs="Arial"/>
          <w:sz w:val="22"/>
          <w:lang w:val="en-GB" w:eastAsia="en-US"/>
        </w:rPr>
        <w:t xml:space="preserve">financially-unsound </w:t>
      </w:r>
      <w:r w:rsidR="00A27B2A" w:rsidRPr="00525508">
        <w:rPr>
          <w:rFonts w:cs="Arial"/>
          <w:sz w:val="22"/>
          <w:lang w:val="en-GB" w:eastAsia="en-US"/>
        </w:rPr>
        <w:t xml:space="preserve">countries from the EU, quotas for women in management, minimum wage, veggie day in public offices etc.). </w:t>
      </w:r>
    </w:p>
    <w:p w:rsidR="00525508" w:rsidRPr="00525508" w:rsidRDefault="00A27B2A" w:rsidP="00525508">
      <w:pPr>
        <w:pStyle w:val="ListParagraph"/>
        <w:numPr>
          <w:ilvl w:val="0"/>
          <w:numId w:val="4"/>
        </w:numPr>
        <w:spacing w:before="120" w:after="120"/>
        <w:ind w:left="426"/>
        <w:contextualSpacing/>
        <w:rPr>
          <w:rFonts w:cs="Arial"/>
          <w:sz w:val="22"/>
        </w:rPr>
      </w:pPr>
      <w:r w:rsidRPr="00525508">
        <w:rPr>
          <w:rFonts w:cs="Arial"/>
          <w:sz w:val="22"/>
          <w:lang w:val="en-GB" w:eastAsia="en-US"/>
        </w:rPr>
        <w:t xml:space="preserve">You are looking for a central statement with 3 or 4 supporting arguments (I think that most people will agree…  This is clearly demonstrated by…  Beyond this…  What is more… </w:t>
      </w:r>
      <w:r w:rsidR="00CD0EDE" w:rsidRPr="00525508">
        <w:rPr>
          <w:rFonts w:cs="Arial"/>
          <w:sz w:val="22"/>
          <w:lang w:val="en-GB" w:eastAsia="en-US"/>
        </w:rPr>
        <w:t>Finally,</w:t>
      </w:r>
      <w:r w:rsidRPr="00525508">
        <w:rPr>
          <w:rFonts w:cs="Arial"/>
          <w:sz w:val="22"/>
          <w:lang w:val="en-GB" w:eastAsia="en-US"/>
        </w:rPr>
        <w:t>…)</w:t>
      </w:r>
    </w:p>
    <w:p w:rsidR="00525508" w:rsidRPr="00525508" w:rsidRDefault="00CD0EDE" w:rsidP="00525508">
      <w:pPr>
        <w:pStyle w:val="ListParagraph"/>
        <w:numPr>
          <w:ilvl w:val="0"/>
          <w:numId w:val="4"/>
        </w:numPr>
        <w:spacing w:before="120" w:after="120"/>
        <w:ind w:left="426"/>
        <w:contextualSpacing/>
        <w:rPr>
          <w:rFonts w:cs="Arial"/>
          <w:sz w:val="22"/>
        </w:rPr>
      </w:pPr>
      <w:r w:rsidRPr="00525508">
        <w:rPr>
          <w:rFonts w:cs="Arial"/>
          <w:sz w:val="22"/>
        </w:rPr>
        <w:t>Each idea giver (IG) notes these thoughts on an A5 card.</w:t>
      </w:r>
    </w:p>
    <w:p w:rsidR="00525508" w:rsidRPr="00525508" w:rsidRDefault="00CD0EDE" w:rsidP="00525508">
      <w:pPr>
        <w:pStyle w:val="ListParagraph"/>
        <w:numPr>
          <w:ilvl w:val="0"/>
          <w:numId w:val="4"/>
        </w:numPr>
        <w:spacing w:before="120" w:after="120"/>
        <w:ind w:left="426"/>
        <w:contextualSpacing/>
        <w:rPr>
          <w:rFonts w:cs="Arial"/>
          <w:sz w:val="22"/>
        </w:rPr>
      </w:pPr>
      <w:r w:rsidRPr="00525508">
        <w:rPr>
          <w:rFonts w:cs="Arial"/>
          <w:sz w:val="22"/>
        </w:rPr>
        <w:t>When the cards are exchanged, allow a couple of minutes for the recipient to read and check their understanding of the stated position.</w:t>
      </w:r>
    </w:p>
    <w:p w:rsidR="00CD0EDE" w:rsidRPr="00525508" w:rsidRDefault="00D14AF5" w:rsidP="00525508">
      <w:pPr>
        <w:pStyle w:val="ListParagraph"/>
        <w:numPr>
          <w:ilvl w:val="0"/>
          <w:numId w:val="4"/>
        </w:numPr>
        <w:spacing w:before="120" w:after="120"/>
        <w:ind w:left="426"/>
        <w:contextualSpacing/>
        <w:rPr>
          <w:rFonts w:cs="Arial"/>
          <w:sz w:val="22"/>
        </w:rPr>
      </w:pPr>
      <w:r>
        <w:rPr>
          <w:rFonts w:cs="Arial"/>
          <w:sz w:val="22"/>
        </w:rPr>
        <w:t>The</w:t>
      </w:r>
      <w:r w:rsidR="00CD0EDE" w:rsidRPr="00525508">
        <w:rPr>
          <w:rFonts w:cs="Arial"/>
          <w:sz w:val="22"/>
        </w:rPr>
        <w:t xml:space="preserve"> recipient of the card </w:t>
      </w:r>
      <w:r>
        <w:rPr>
          <w:rFonts w:cs="Arial"/>
          <w:sz w:val="22"/>
        </w:rPr>
        <w:t>makes</w:t>
      </w:r>
      <w:r w:rsidR="00CD0EDE" w:rsidRPr="00525508">
        <w:rPr>
          <w:rFonts w:cs="Arial"/>
          <w:sz w:val="22"/>
        </w:rPr>
        <w:t xml:space="preserve"> a presentation/statement (max 2 or 3 minutes) ar</w:t>
      </w:r>
      <w:r w:rsidR="00E1291F" w:rsidRPr="00525508">
        <w:rPr>
          <w:rFonts w:cs="Arial"/>
          <w:sz w:val="22"/>
        </w:rPr>
        <w:t>guing the exact opposite of what they read on the card. It will probably be necessary to give them a few minutes to make notes and get their thoughts clear.</w:t>
      </w:r>
    </w:p>
    <w:p w:rsidR="00E1291F" w:rsidRPr="00D14AF5" w:rsidRDefault="00D14AF5" w:rsidP="00525508">
      <w:pPr>
        <w:spacing w:before="120" w:after="120"/>
        <w:rPr>
          <w:rFonts w:cs="Arial"/>
          <w:sz w:val="22"/>
        </w:rPr>
      </w:pPr>
      <w:r>
        <w:rPr>
          <w:rFonts w:cs="Arial"/>
          <w:b/>
          <w:sz w:val="22"/>
        </w:rPr>
        <w:t>It might be useful</w:t>
      </w:r>
      <w:r w:rsidR="00E1291F" w:rsidRPr="00D14AF5">
        <w:rPr>
          <w:rFonts w:cs="Arial"/>
          <w:b/>
          <w:sz w:val="22"/>
        </w:rPr>
        <w:t xml:space="preserve"> if the mini-presentations are done one-at-a-time in plenum.</w:t>
      </w:r>
      <w:r w:rsidRPr="00D14AF5">
        <w:rPr>
          <w:rFonts w:cs="Arial"/>
          <w:b/>
          <w:sz w:val="22"/>
        </w:rPr>
        <w:t xml:space="preserve"> </w:t>
      </w:r>
      <w:r w:rsidR="00E1291F" w:rsidRPr="00D14AF5">
        <w:rPr>
          <w:rFonts w:cs="Arial"/>
          <w:b/>
          <w:sz w:val="22"/>
        </w:rPr>
        <w:t>Suggest that the IG make notes on what s/he hears</w:t>
      </w:r>
      <w:r w:rsidRPr="00D14AF5">
        <w:rPr>
          <w:rFonts w:cs="Arial"/>
          <w:b/>
          <w:sz w:val="22"/>
        </w:rPr>
        <w:t xml:space="preserve">. </w:t>
      </w:r>
      <w:r w:rsidR="00E1291F" w:rsidRPr="00D14AF5">
        <w:rPr>
          <w:rFonts w:cs="Arial"/>
          <w:b/>
          <w:sz w:val="22"/>
        </w:rPr>
        <w:t xml:space="preserve">Suggest the observers </w:t>
      </w:r>
      <w:r w:rsidR="003B0438" w:rsidRPr="00D14AF5">
        <w:rPr>
          <w:rFonts w:cs="Arial"/>
          <w:b/>
          <w:sz w:val="22"/>
        </w:rPr>
        <w:t>give feedback.</w:t>
      </w:r>
      <w:r>
        <w:rPr>
          <w:rFonts w:cs="Arial"/>
          <w:b/>
          <w:sz w:val="22"/>
        </w:rPr>
        <w:t xml:space="preserve"> </w:t>
      </w:r>
      <w:r w:rsidR="00E1291F" w:rsidRPr="00D14AF5">
        <w:rPr>
          <w:rFonts w:cs="Arial"/>
          <w:sz w:val="22"/>
        </w:rPr>
        <w:t>Language points which lend themselves to the exercise are</w:t>
      </w:r>
    </w:p>
    <w:p w:rsidR="00E1291F" w:rsidRPr="00D14AF5" w:rsidRDefault="00E1291F" w:rsidP="00D14AF5">
      <w:pPr>
        <w:pStyle w:val="ListParagraph"/>
        <w:numPr>
          <w:ilvl w:val="0"/>
          <w:numId w:val="4"/>
        </w:numPr>
        <w:ind w:left="426"/>
        <w:contextualSpacing/>
        <w:rPr>
          <w:rFonts w:cs="Arial"/>
          <w:sz w:val="22"/>
          <w:lang w:val="en-GB" w:eastAsia="en-US"/>
        </w:rPr>
      </w:pPr>
      <w:r w:rsidRPr="00D14AF5">
        <w:rPr>
          <w:rFonts w:cs="Arial"/>
          <w:sz w:val="22"/>
          <w:lang w:val="en-GB" w:eastAsia="en-US"/>
        </w:rPr>
        <w:t>Linking phrases to build an argument</w:t>
      </w:r>
    </w:p>
    <w:p w:rsidR="00E1291F" w:rsidRPr="00D14AF5" w:rsidRDefault="00E1291F" w:rsidP="00D14AF5">
      <w:pPr>
        <w:pStyle w:val="ListParagraph"/>
        <w:numPr>
          <w:ilvl w:val="0"/>
          <w:numId w:val="4"/>
        </w:numPr>
        <w:ind w:left="426"/>
        <w:contextualSpacing/>
        <w:rPr>
          <w:rFonts w:cs="Arial"/>
          <w:sz w:val="22"/>
          <w:lang w:val="en-GB" w:eastAsia="en-US"/>
        </w:rPr>
      </w:pPr>
      <w:r w:rsidRPr="00D14AF5">
        <w:rPr>
          <w:rFonts w:cs="Arial"/>
          <w:sz w:val="22"/>
          <w:lang w:val="en-GB" w:eastAsia="en-US"/>
        </w:rPr>
        <w:t xml:space="preserve">Blocks on listening </w:t>
      </w:r>
    </w:p>
    <w:p w:rsidR="00E1291F" w:rsidRPr="00D14AF5" w:rsidRDefault="00E1291F" w:rsidP="00D14AF5">
      <w:pPr>
        <w:pStyle w:val="ListParagraph"/>
        <w:numPr>
          <w:ilvl w:val="0"/>
          <w:numId w:val="4"/>
        </w:numPr>
        <w:ind w:left="426"/>
        <w:contextualSpacing/>
        <w:rPr>
          <w:rFonts w:cs="Arial"/>
          <w:sz w:val="22"/>
          <w:lang w:val="en-GB" w:eastAsia="en-US"/>
        </w:rPr>
      </w:pPr>
      <w:r w:rsidRPr="00D14AF5">
        <w:rPr>
          <w:rFonts w:cs="Arial"/>
          <w:sz w:val="22"/>
          <w:lang w:val="en-GB" w:eastAsia="en-US"/>
        </w:rPr>
        <w:t>Stating and refuting opinions</w:t>
      </w:r>
      <w:bookmarkStart w:id="0" w:name="_GoBack"/>
      <w:bookmarkEnd w:id="0"/>
    </w:p>
    <w:p w:rsidR="00A27B2A" w:rsidRPr="00D14AF5" w:rsidRDefault="00A27B2A" w:rsidP="00525508">
      <w:pPr>
        <w:spacing w:before="120" w:after="120"/>
        <w:rPr>
          <w:rFonts w:cs="Arial"/>
          <w:sz w:val="22"/>
        </w:rPr>
      </w:pPr>
    </w:p>
    <w:sectPr w:rsidR="00A27B2A" w:rsidRPr="00D14AF5" w:rsidSect="00525508">
      <w:headerReference w:type="default" r:id="rId12"/>
      <w:footerReference w:type="default" r:id="rId13"/>
      <w:pgSz w:w="11906" w:h="16838"/>
      <w:pgMar w:top="241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F42" w:rsidRDefault="00B77F42" w:rsidP="00525508">
      <w:pPr>
        <w:spacing w:line="240" w:lineRule="auto"/>
      </w:pPr>
      <w:r>
        <w:separator/>
      </w:r>
    </w:p>
  </w:endnote>
  <w:endnote w:type="continuationSeparator" w:id="0">
    <w:p w:rsidR="00B77F42" w:rsidRDefault="00B77F42" w:rsidP="00525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-432" w:type="dxa"/>
      <w:tblLook w:val="01E0" w:firstRow="1" w:lastRow="1" w:firstColumn="1" w:lastColumn="1" w:noHBand="0" w:noVBand="0"/>
    </w:tblPr>
    <w:tblGrid>
      <w:gridCol w:w="2880"/>
      <w:gridCol w:w="7380"/>
    </w:tblGrid>
    <w:tr w:rsidR="00525508" w:rsidRPr="00230B7F" w:rsidTr="001C029A">
      <w:tc>
        <w:tcPr>
          <w:tcW w:w="2880" w:type="dxa"/>
          <w:shd w:val="clear" w:color="auto" w:fill="auto"/>
        </w:tcPr>
        <w:p w:rsidR="00525508" w:rsidRPr="00230B7F" w:rsidRDefault="00525508" w:rsidP="00525508">
          <w:pPr>
            <w:pStyle w:val="Footer"/>
            <w:ind w:left="-540"/>
            <w:jc w:val="center"/>
            <w:rPr>
              <w:rStyle w:val="PageNumber"/>
              <w:color w:val="808080"/>
              <w:sz w:val="12"/>
              <w:szCs w:val="12"/>
            </w:rPr>
          </w:pPr>
        </w:p>
        <w:p w:rsidR="00525508" w:rsidRPr="00230B7F" w:rsidRDefault="00525508" w:rsidP="00525508">
          <w:pPr>
            <w:pStyle w:val="Footer"/>
            <w:jc w:val="center"/>
            <w:rPr>
              <w:rStyle w:val="PageNumber"/>
              <w:color w:val="808080"/>
              <w:sz w:val="12"/>
              <w:szCs w:val="12"/>
            </w:rPr>
          </w:pPr>
        </w:p>
        <w:p w:rsidR="00525508" w:rsidRPr="00230B7F" w:rsidRDefault="00525508" w:rsidP="00525508">
          <w:pPr>
            <w:pStyle w:val="Footer"/>
            <w:rPr>
              <w:i/>
              <w:iCs/>
              <w:color w:val="808080"/>
              <w:lang w:val="en-GB"/>
            </w:rPr>
          </w:pPr>
        </w:p>
      </w:tc>
      <w:tc>
        <w:tcPr>
          <w:tcW w:w="7380" w:type="dxa"/>
          <w:shd w:val="clear" w:color="auto" w:fill="auto"/>
        </w:tcPr>
        <w:p w:rsidR="00525508" w:rsidRPr="009258B0" w:rsidRDefault="00525508" w:rsidP="00525508">
          <w:pPr>
            <w:pStyle w:val="Footer"/>
            <w:rPr>
              <w:i/>
              <w:iCs/>
              <w:color w:val="0070C0"/>
              <w:lang w:val="en-GB"/>
            </w:rPr>
          </w:pPr>
          <w:r w:rsidRPr="009258B0">
            <w:rPr>
              <w:i/>
              <w:iCs/>
              <w:color w:val="0070C0"/>
              <w:lang w:val="en-GB"/>
            </w:rPr>
            <w:t xml:space="preserve"> </w:t>
          </w:r>
          <w:r w:rsidRPr="009258B0">
            <w:rPr>
              <w:i/>
              <w:iCs/>
              <w:sz w:val="20"/>
              <w:lang w:val="en-GB"/>
            </w:rPr>
            <w:t>Training you to succeed globally</w:t>
          </w:r>
        </w:p>
        <w:p w:rsidR="00525508" w:rsidRPr="009258B0" w:rsidRDefault="00525508" w:rsidP="00525508">
          <w:pPr>
            <w:pStyle w:val="Footer"/>
            <w:jc w:val="right"/>
            <w:rPr>
              <w:rStyle w:val="PageNumber"/>
              <w:color w:val="808080"/>
              <w:sz w:val="22"/>
              <w:szCs w:val="22"/>
            </w:rPr>
          </w:pPr>
          <w:r w:rsidRPr="009258B0">
            <w:rPr>
              <w:rStyle w:val="PageNumber"/>
              <w:color w:val="0070C0"/>
              <w:sz w:val="18"/>
              <w:szCs w:val="22"/>
            </w:rPr>
            <w:fldChar w:fldCharType="begin"/>
          </w:r>
          <w:r w:rsidRPr="009258B0">
            <w:rPr>
              <w:rStyle w:val="PageNumber"/>
              <w:color w:val="0070C0"/>
              <w:sz w:val="18"/>
              <w:szCs w:val="22"/>
            </w:rPr>
            <w:instrText xml:space="preserve"> PAGE </w:instrText>
          </w:r>
          <w:r w:rsidRPr="009258B0">
            <w:rPr>
              <w:rStyle w:val="PageNumber"/>
              <w:color w:val="0070C0"/>
              <w:sz w:val="18"/>
              <w:szCs w:val="22"/>
            </w:rPr>
            <w:fldChar w:fldCharType="separate"/>
          </w:r>
          <w:r w:rsidR="00D14AF5">
            <w:rPr>
              <w:rStyle w:val="PageNumber"/>
              <w:noProof/>
              <w:color w:val="0070C0"/>
              <w:sz w:val="18"/>
              <w:szCs w:val="22"/>
            </w:rPr>
            <w:t>2</w:t>
          </w:r>
          <w:r w:rsidRPr="009258B0">
            <w:rPr>
              <w:rStyle w:val="PageNumber"/>
              <w:color w:val="0070C0"/>
              <w:sz w:val="18"/>
              <w:szCs w:val="22"/>
            </w:rPr>
            <w:fldChar w:fldCharType="end"/>
          </w:r>
        </w:p>
        <w:p w:rsidR="00525508" w:rsidRPr="00230B7F" w:rsidRDefault="00525508" w:rsidP="00525508">
          <w:pPr>
            <w:pStyle w:val="Footer"/>
            <w:jc w:val="right"/>
            <w:rPr>
              <w:i/>
              <w:iCs/>
              <w:color w:val="808080"/>
              <w:sz w:val="12"/>
              <w:szCs w:val="12"/>
              <w:lang w:val="en-GB"/>
            </w:rPr>
          </w:pPr>
        </w:p>
      </w:tc>
    </w:tr>
  </w:tbl>
  <w:p w:rsidR="00525508" w:rsidRDefault="00525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F42" w:rsidRDefault="00B77F42" w:rsidP="00525508">
      <w:pPr>
        <w:spacing w:line="240" w:lineRule="auto"/>
      </w:pPr>
      <w:r>
        <w:separator/>
      </w:r>
    </w:p>
  </w:footnote>
  <w:footnote w:type="continuationSeparator" w:id="0">
    <w:p w:rsidR="00B77F42" w:rsidRDefault="00B77F42" w:rsidP="005255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4" w:type="dxa"/>
      <w:tblInd w:w="-4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5148"/>
    </w:tblGrid>
    <w:tr w:rsidR="00525508" w:rsidTr="001C029A">
      <w:tc>
        <w:tcPr>
          <w:tcW w:w="4606" w:type="dxa"/>
        </w:tcPr>
        <w:p w:rsidR="00525508" w:rsidRPr="00946A5C" w:rsidRDefault="00525508" w:rsidP="00525508">
          <w:pPr>
            <w:rPr>
              <w:b/>
              <w:color w:val="1F3864"/>
              <w:lang w:val="en-GB"/>
            </w:rPr>
          </w:pPr>
          <w:r w:rsidRPr="00946A5C">
            <w:rPr>
              <w:b/>
              <w:color w:val="1F3864"/>
              <w:sz w:val="20"/>
              <w:lang w:val="en-GB"/>
            </w:rPr>
            <w:t xml:space="preserve">           www.targettraining.eu                   </w:t>
          </w:r>
        </w:p>
      </w:tc>
      <w:tc>
        <w:tcPr>
          <w:tcW w:w="5148" w:type="dxa"/>
        </w:tcPr>
        <w:p w:rsidR="00525508" w:rsidRDefault="00525508" w:rsidP="00525508">
          <w:pPr>
            <w:pStyle w:val="Header"/>
            <w:jc w:val="right"/>
            <w:rPr>
              <w:lang w:val="en-GB"/>
            </w:rPr>
          </w:pPr>
          <w:r w:rsidRPr="00946A5C">
            <w:rPr>
              <w:b/>
              <w:noProof/>
              <w:sz w:val="40"/>
              <w:szCs w:val="40"/>
              <w:lang w:val="en-GB" w:eastAsia="en-GB"/>
            </w:rPr>
            <w:drawing>
              <wp:inline distT="0" distB="0" distL="0" distR="0">
                <wp:extent cx="1319530" cy="396875"/>
                <wp:effectExtent l="0" t="0" r="0" b="0"/>
                <wp:docPr id="1" name="Picture 1" descr="Target_Logo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Target_Logo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53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5508" w:rsidRDefault="00525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A9A"/>
    <w:multiLevelType w:val="hybridMultilevel"/>
    <w:tmpl w:val="C7C0910C"/>
    <w:lvl w:ilvl="0" w:tplc="498010D0">
      <w:start w:val="116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B7945"/>
    <w:multiLevelType w:val="hybridMultilevel"/>
    <w:tmpl w:val="3F201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364BA"/>
    <w:multiLevelType w:val="hybridMultilevel"/>
    <w:tmpl w:val="22767C9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859F3"/>
    <w:multiLevelType w:val="hybridMultilevel"/>
    <w:tmpl w:val="2CAC3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19"/>
    <w:rsid w:val="000614E5"/>
    <w:rsid w:val="000B4C80"/>
    <w:rsid w:val="000D340D"/>
    <w:rsid w:val="00104239"/>
    <w:rsid w:val="001665CC"/>
    <w:rsid w:val="002479FD"/>
    <w:rsid w:val="00260071"/>
    <w:rsid w:val="00291543"/>
    <w:rsid w:val="00317F43"/>
    <w:rsid w:val="003557D9"/>
    <w:rsid w:val="003B0438"/>
    <w:rsid w:val="003D3997"/>
    <w:rsid w:val="003E685B"/>
    <w:rsid w:val="00453F49"/>
    <w:rsid w:val="00466D5B"/>
    <w:rsid w:val="00525508"/>
    <w:rsid w:val="0056650E"/>
    <w:rsid w:val="005E6401"/>
    <w:rsid w:val="007015F0"/>
    <w:rsid w:val="007F60D3"/>
    <w:rsid w:val="0098255E"/>
    <w:rsid w:val="009E5F7C"/>
    <w:rsid w:val="00A22C39"/>
    <w:rsid w:val="00A27B2A"/>
    <w:rsid w:val="00A6445A"/>
    <w:rsid w:val="00B77F42"/>
    <w:rsid w:val="00BC7019"/>
    <w:rsid w:val="00C22A73"/>
    <w:rsid w:val="00C948C3"/>
    <w:rsid w:val="00CA3B62"/>
    <w:rsid w:val="00CA5CB7"/>
    <w:rsid w:val="00CD0EDE"/>
    <w:rsid w:val="00CF556B"/>
    <w:rsid w:val="00D14AF5"/>
    <w:rsid w:val="00D4505F"/>
    <w:rsid w:val="00E1291F"/>
    <w:rsid w:val="00E400F0"/>
    <w:rsid w:val="00EA30EC"/>
    <w:rsid w:val="00FD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E60F"/>
  <w15:chartTrackingRefBased/>
  <w15:docId w15:val="{1FBE0284-FBBB-45F2-A2DC-192BCE07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C7019"/>
    <w:pPr>
      <w:spacing w:before="0"/>
    </w:pPr>
    <w:rPr>
      <w:rFonts w:ascii="Arial" w:eastAsia="Times New Roman" w:hAnsi="Arial" w:cs="Times New Roman"/>
      <w:sz w:val="24"/>
      <w:szCs w:val="24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C7019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7019"/>
    <w:rPr>
      <w:rFonts w:ascii="Arial" w:eastAsia="Times New Roman" w:hAnsi="Arial" w:cs="Times New Roman"/>
      <w:sz w:val="24"/>
      <w:szCs w:val="24"/>
      <w:lang w:val="en-US" w:eastAsia="de-DE"/>
    </w:rPr>
  </w:style>
  <w:style w:type="paragraph" w:styleId="Header">
    <w:name w:val="header"/>
    <w:basedOn w:val="Normal"/>
    <w:link w:val="HeaderChar"/>
    <w:unhideWhenUsed/>
    <w:rsid w:val="0052550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508"/>
    <w:rPr>
      <w:rFonts w:ascii="Arial" w:eastAsia="Times New Roman" w:hAnsi="Arial" w:cs="Times New Roman"/>
      <w:sz w:val="24"/>
      <w:szCs w:val="24"/>
      <w:lang w:val="en-US" w:eastAsia="de-DE"/>
    </w:rPr>
  </w:style>
  <w:style w:type="paragraph" w:styleId="Footer">
    <w:name w:val="footer"/>
    <w:basedOn w:val="Normal"/>
    <w:link w:val="FooterChar"/>
    <w:unhideWhenUsed/>
    <w:rsid w:val="0052550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508"/>
    <w:rPr>
      <w:rFonts w:ascii="Arial" w:eastAsia="Times New Roman" w:hAnsi="Arial" w:cs="Times New Roman"/>
      <w:sz w:val="24"/>
      <w:szCs w:val="24"/>
      <w:lang w:val="en-US" w:eastAsia="de-DE"/>
    </w:rPr>
  </w:style>
  <w:style w:type="character" w:styleId="PageNumber">
    <w:name w:val="page number"/>
    <w:basedOn w:val="DefaultParagraphFont"/>
    <w:rsid w:val="00525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40364D2F0DC141AE356372B7A7E9D5" ma:contentTypeVersion="2" ma:contentTypeDescription="Ein neues Dokument erstellen." ma:contentTypeScope="" ma:versionID="40ca6e5f94063d346ac68334fb354ba2">
  <xsd:schema xmlns:xsd="http://www.w3.org/2001/XMLSchema" xmlns:xs="http://www.w3.org/2001/XMLSchema" xmlns:p="http://schemas.microsoft.com/office/2006/metadata/properties" xmlns:ns2="64de043a-ce85-4bde-bbd2-3f931102b68c" targetNamespace="http://schemas.microsoft.com/office/2006/metadata/properties" ma:root="true" ma:fieldsID="2be3988950f39ae7b75a70e8e6e15714" ns2:_="">
    <xsd:import namespace="64de043a-ce85-4bde-bbd2-3f931102b6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043a-ce85-4bde-bbd2-3f931102b6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C6F890-8E0C-43FE-9C9D-9F9B34E977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ED35FA-2CC7-4A7F-88B5-E42AD01BA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043a-ce85-4bde-bbd2-3f931102b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223C01-7A0B-4998-BD53-0908B8CD9D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Slattery</dc:creator>
  <cp:keywords/>
  <dc:description/>
  <cp:lastModifiedBy>Brenda Vanseters</cp:lastModifiedBy>
  <cp:revision>2</cp:revision>
  <dcterms:created xsi:type="dcterms:W3CDTF">2017-05-10T07:30:00Z</dcterms:created>
  <dcterms:modified xsi:type="dcterms:W3CDTF">2017-05-10T07:30:00Z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0x0101006240364D2F0DC141AE356372B7A7E9D5</vt:lpwstr>
  </property>
</Properties>
</file>